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255" w:rsidRPr="006D465F" w:rsidRDefault="006D465F" w:rsidP="006D465F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6D465F">
        <w:rPr>
          <w:rFonts w:ascii="Times New Roman" w:hAnsi="Times New Roman" w:cs="Times New Roman"/>
          <w:b/>
          <w:sz w:val="22"/>
          <w:szCs w:val="22"/>
        </w:rPr>
        <w:t>СУМЫН ЭДИЙН ЗАСАГ, НИЙГМИЙГ ХӨГЖҮҮЛЭХ ҮНДСЭН ЧИГЛЭЛ</w:t>
      </w:r>
    </w:p>
    <w:p w:rsidR="00431255" w:rsidRPr="006D465F" w:rsidRDefault="006D465F" w:rsidP="006D465F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6D465F">
        <w:rPr>
          <w:rFonts w:ascii="Times New Roman" w:hAnsi="Times New Roman" w:cs="Times New Roman"/>
          <w:b/>
          <w:sz w:val="22"/>
          <w:szCs w:val="22"/>
        </w:rPr>
        <w:t>СЭРГЭЛЭН СУМЫН ЗАСАГ ДАРГЫН ТАМГЫН ГАЗАР</w:t>
      </w:r>
    </w:p>
    <w:p w:rsidR="00431255" w:rsidRPr="006D465F" w:rsidRDefault="006D465F" w:rsidP="006D465F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6D465F">
        <w:rPr>
          <w:rFonts w:ascii="Times New Roman" w:hAnsi="Times New Roman" w:cs="Times New Roman"/>
          <w:b/>
          <w:sz w:val="22"/>
          <w:szCs w:val="22"/>
        </w:rPr>
        <w:t>2022 ОНЫ ХАГАС ЖИЛ</w:t>
      </w:r>
    </w:p>
    <w:tbl>
      <w:tblPr>
        <w:tblStyle w:val="ColspanRowspan"/>
        <w:tblW w:w="15593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339"/>
        <w:gridCol w:w="1456"/>
        <w:gridCol w:w="3167"/>
        <w:gridCol w:w="992"/>
        <w:gridCol w:w="1843"/>
        <w:gridCol w:w="850"/>
        <w:gridCol w:w="1134"/>
        <w:gridCol w:w="5245"/>
        <w:gridCol w:w="567"/>
      </w:tblGrid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Д/д</w:t>
            </w:r>
          </w:p>
        </w:tc>
        <w:tc>
          <w:tcPr>
            <w:tcW w:w="1456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Зорилт</w:t>
            </w:r>
            <w:proofErr w:type="spellEnd"/>
          </w:p>
        </w:tc>
        <w:tc>
          <w:tcPr>
            <w:tcW w:w="31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</w:t>
            </w:r>
            <w:proofErr w:type="spellEnd"/>
          </w:p>
        </w:tc>
        <w:tc>
          <w:tcPr>
            <w:tcW w:w="992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хугацаа</w:t>
            </w:r>
            <w:proofErr w:type="spellEnd"/>
          </w:p>
        </w:tc>
        <w:tc>
          <w:tcPr>
            <w:tcW w:w="1843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Шалгуур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үзүүлэлт</w:t>
            </w:r>
            <w:proofErr w:type="spellEnd"/>
          </w:p>
        </w:tc>
        <w:tc>
          <w:tcPr>
            <w:tcW w:w="850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түвшин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</w:t>
            </w:r>
            <w:proofErr w:type="spellEnd"/>
          </w:p>
        </w:tc>
        <w:tc>
          <w:tcPr>
            <w:tcW w:w="1134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Зарцуулсан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хөрөнгийн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үүсвэр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сая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төгрөг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түвшин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</w:tr>
      <w:tr w:rsidR="00431255" w:rsidRPr="006D465F" w:rsidTr="006D465F">
        <w:tc>
          <w:tcPr>
            <w:tcW w:w="15593" w:type="dxa"/>
            <w:gridSpan w:val="9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1. “Ковид-19”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тахлаас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хүндрэлийг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даван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оновчтой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1.1. Ковид-19”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тахлаас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хүндрэлийг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даван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оновчтой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“Ковид-19”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тахлын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эрсдэлээс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боловсруулж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санхүүжилтийг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Санхүүжилт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байхгүй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тахлын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эрсдэлээс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шаардлагатай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тохиолдолд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зарцуулах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зорилгоор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нөөц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санхүүжилтийг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тахлын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эсрэг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нөөц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сангаас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хөрөнгө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зарцуулаагүй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тархаж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сурталчилгаа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санхүүжилт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олгогдоогүй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тархаж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мэндийн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тусламж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тархаж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сурталчилгаа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хагас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мэндийн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фэйсбүүк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хуудсанд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пост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байршуулсан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мэндийн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шаардлагатай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оношлуураар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ЭМГ-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2022.02.14-ны А/09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тушаалаар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ширхэг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түргэвчилсэн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оношлуур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орчинд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Багш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сурагч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сургуулийн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ажилтнуудын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мэндийн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эрсдэлийг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тодорхойлж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сурагчийн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сургууль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завсардалтын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эрсдэлийг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тооцоолно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хичээлд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ЕБС- 60 СӨБ- 50</w:t>
            </w:r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Сурагчидтайгаа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ангиар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холбогдон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Эргэх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холбоо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”-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багшийн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ЕБС-95.8 СӨБ-87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Хичээлийн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сургуулийн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сурагчдын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85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мэндийн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нэгдсэн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сурагчдын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массаар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56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шүдний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өвчлөлттэй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эзэлсэн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АУБ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үүрэг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даалгавар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эмчилгээ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хийлгэж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одоо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өвчлөлийн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хичээлийн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сургууль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завсардсан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сурагч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байхгүй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Зурагт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интернэтгүй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боломжийг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болгохын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тохирсон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хэлбэр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хувилбаруудыг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судалж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бэлтгэнэ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боломжтой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хүүхдийн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1-9-р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сурагчдын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орчинд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соёлтой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оролцъё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сэдвээр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хичээлийг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судлахад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бэрхшээлүүдийг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АУБ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тухайн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асран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зөвлөмж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датагаар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431255" w:rsidRPr="006D465F" w:rsidTr="006D465F">
        <w:tc>
          <w:tcPr>
            <w:tcW w:w="15593" w:type="dxa"/>
            <w:gridSpan w:val="9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ХҮНИЙ ХӨГЖЛИЙН БОДЛОГО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2.1.1.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мэндийн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тусламж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өргөжүүлж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илрүүлэх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оношилгоо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шинжилгээнд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хамрагдалтыг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түвшинг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бууруулна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Биеийн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индекс-18:24”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хөдөлгөөн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өрнүүлнэ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БЖИ-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түвшинд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ЕБС-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гаргасан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хуваарийн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дагуу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хаагчид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16:00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цагаас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хойш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зааланд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дасгал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хөдөлгөөн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спортоор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хичээллэж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сүлжээгээр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дамжуулан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хооллолт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өвчлөлөөс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пост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байршуулж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байна.Мөн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удаагийн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хурлаар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хүргэсэн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ab/>
              <w:t>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үзлэгийг-Иргэн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” 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аяныг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Зонхилон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тохиолдох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өвчний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илрүүлэгт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73.28 80.6  80.53  61.9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АНЭ-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сүрьеэгийн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тасгийн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130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у/с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үзлэгт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06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04нд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туваан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мэргэжлийн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давхардсан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тоогоор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120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гаруй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оношлогоо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шинжилгээ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зөвлөгөө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өглөө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Хавдрын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эсрэг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баталж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Хавдрын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өвчлөлийн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үеийн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илрүүлгийн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Зорилтот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бүлгийн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38%-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мэргэжлийн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эмчийн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шинжилгээнд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илгээсэн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11. 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баталж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Жирэмсний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Жирэмсний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хяналтанд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байснаас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хяналтанд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жирэмсний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хяналтанд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сартайд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100%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0-1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насны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7,14,21,28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хоногтойд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эргэлт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100%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2.2.1.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идэвхтэй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амьдралын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дадал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хэвшилд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уриалан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биеийн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тамир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спортод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ээлтэй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12.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биеийн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тамир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спортын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чиглэлээр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хамарсан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өргөжүүлж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Идэвхтэй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хөдөлгөөнөөр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хичээлсэн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хоногт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зааланд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хагас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төсөвт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хаагчдыг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100%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сургуулийн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сурагчид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140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248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сорил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судалгаанд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тараглалттай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хэрхэн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тэмцэх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идэвхтэй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хөдөлгөөний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давуу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сурталчилан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ажиллаа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Илүүдэл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жингүй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эртэч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Монгол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аяны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Пүрэв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өглөө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06.00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сургуулийн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зааланд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дасгал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хөдөлгөөн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заншсан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13.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сорил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судалгаанд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түвшинд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Судалгаанд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түвшинд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Судалгаанд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түвшинд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38.4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Цэцэрлэгийн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3-5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насны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хүүхдүүдийг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бие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бялдарын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түвшин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сорилд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аймгийн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биеийн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тамир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спортын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нэгтгэн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хүргүүлсэн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сорилд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96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хамрагдснаас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А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үнэлгээтэй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25, В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үнэлгээтэй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47, С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үнэлгээтэй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дүгнэгдсэн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14.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соёл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цогцолбор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сайжруулна</w:t>
            </w:r>
            <w:proofErr w:type="spellEnd"/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цогцолбор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Барилгын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явагдаж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2.3.1.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Боловсролын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хүртээмж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15.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Цэцэрлэгийн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, 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цэцэрлэгт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үргэлжлүүлэн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85.3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хичээлийн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150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хамрагдахаас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156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16.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тэргүүлэх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чиглэлээр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суралцаж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амжилтаар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тэргүүлэгч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оюутанд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100%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хүртэл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төлбөрийн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тэтгэлэг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Тэтгэлэгт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оюутны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Өссөн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тэргүүлэх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чиглэлээр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суралцаж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амжилтаар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тэргүүлэгч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оюутанд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100%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хүртэл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төлбөрийн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тэтэглэг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хэсгийг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захирамжар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Судалгааны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хийгдэж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2.3.2.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боловсролыг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тэгш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хүртээмжтэй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эзэмших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17.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Сургууль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цэцэрлэг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дотуур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өргөтгөл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шинэчлэлийг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суралцагчдад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ээлтэй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орчныг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Шинэ-өссөн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Сургууль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Цэцэрлэг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сурагчдад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ээлтэй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орчинг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зорилгоор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заалыг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засвар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тоног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төхөөрөмжийг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шинэчилсэн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Дотуур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засварын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18. ЕБС-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орчиныг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аюулгүй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ээлтэй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бүрдүүрэх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зорилгоор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камержуулалт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гэртүүлэг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сурагдын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ширээ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сандалыг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шинэчилэх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орчныг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ЕБС</w:t>
            </w:r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ЕБС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камержуулалт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аюулгүй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орчинд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суралцах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нөхцлөөр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хангагдаад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19.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Цэцэрлэгийн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хүүхдүүдийг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ундны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цэвэр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зорилгоор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цэвэршүүлэг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тоног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төхөөрөмжийг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тавьж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цэвэр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хангах</w:t>
            </w:r>
            <w:proofErr w:type="spellEnd"/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СӨБ</w:t>
            </w:r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ОНХ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хөрөнгөөр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цэцэрлэгийн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цэвэршүүлэх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тоног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төхөөрөмж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хийгдхээр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хийгдэж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20.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цэцэрлэг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буюу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4-р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зөрлөгийн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цэцэрлэгийн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“00”-ийн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асуудалыг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шийдвэрлэх</w:t>
            </w:r>
            <w:proofErr w:type="spellEnd"/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СӨБ</w:t>
            </w:r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хагас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засварлах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ААН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байгууллагатай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хийгдэж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эхлээгүй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Цэцэрлэгийг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хөгжимийн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багшийн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мэргэжилийн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багшаар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байгуулах</w:t>
            </w:r>
            <w:proofErr w:type="spellEnd"/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СӨБ</w:t>
            </w:r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Соёлын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багшыг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хичээллүүлж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багшаар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ИХ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сургуульд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багш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бэлдэж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2.4.1.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бүлгүүдэд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ээлтэй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орчныг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22. 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харилцааг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бичиг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хөтөлдөг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бичиг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хөтөлдөг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харилцааг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бичиг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хөтөлдөг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5-аар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Хавсралт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: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зураг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23.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хангахад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эцэг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асран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ойлголт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хандлагыг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нөлөөллийн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тогтмолжуулан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хангахад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эцэг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асран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ойлголт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хандлагыг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нөлөөллийн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тогтмолжуулан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хамтран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2.4.2.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бүлгүүдийн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ялгаатай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хэрэгцээ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шаардлагад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нийцүүлэн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даатгалд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24.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Малчин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хувиараа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хөдөлмөр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эрхлэгч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оюутнуудыг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мэндийн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даатгалын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даатгалд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ЭМДаатгал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даатгалд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ЭМДаатгал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250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даатгалд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98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Хагас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77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СДД-Д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18,119,796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төгрөгний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орлогыг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төвлөрүүлээд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Хагас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87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ЭМД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хамруулж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3,981,024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төгрөгний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орлогыг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төвлөрүүлж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25.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Зорилтот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бүлгийн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өрхүүдэд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чиглэсэн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амьжиргаа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Амьжиргаа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дээшилсэн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зорилтод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бүлгийн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өрхүүдэд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Төгсөлтийн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аргачлал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Эдгээр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амьжиргаа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дээшлүүүлж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үнэлгээ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өссөн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үзүүлэлттэй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2.4.3.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хөдөлмөр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эрхлэлтийг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нэмэгдүүлж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ажилгүйдлийн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түвшинг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бууруулна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26.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томоохон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төслүүдийн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хэвшил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жижиг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хөдөлмөр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эрхлэлтийг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замаар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болгоно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нисэх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онгоцны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буудал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баригдсантай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холбогдуулан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шатахуун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түгээх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станцууд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газрууд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бөгөөд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одоогийн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бүртгэгдсэн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27.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чөлөөтэй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захиалгын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дагуу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хөдөлмөрт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бэлтгэж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зуучилна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Зуучлагдсан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хагас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хугацаанд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захиалга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ирснийг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хөдөлмөрийн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зээлийн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нэгдсэн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системд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49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зуучилж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27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28.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Залуучуудад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бизнес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болоход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тогтмолжуулж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бизнесийг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залуучуудын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Залуучуудад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бизнес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болоход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тогтмолжуулж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бизнесийг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хөдөлмөр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фэйсбүүк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хуудсаар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дамжуулан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фэйсбүүк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групп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тамгын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Сэргэлэнгийн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залуус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зэрэг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группд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хурал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бизнесийг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2.5.2.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Үндэсний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Монгол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бичгээ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эзэмшиж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хэрэглэж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хэвшинэ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29.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дэвсгэрт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соёлын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дурсгалт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зүйлсийг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хамгаалалтад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хашаалуулна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Хамгаалтад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соёлын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хөдлөх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дурсгалын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дэвсгэрт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соёлын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дурсгалт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газруудыг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хамгаалалтанд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4-н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хашаажуулсан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Хавсралт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: 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зураг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30. СУИС-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хамтарч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соёлын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бүжгийн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багш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мэргэшүүлэх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хамруулна</w:t>
            </w:r>
            <w:proofErr w:type="spellEnd"/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өмнөх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оноос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ахиулсан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тоогоор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Одоогийн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мэргэжлийн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багш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байхгүй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тэтгэвэрт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багшийг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томилон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31. 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ab/>
              <w:t>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соёлоо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эрхэмлэж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үндэсний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бичгээ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сурцгаая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2025”аян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өрнүүлэн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монгол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бичгийн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чадварыг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дээшлүүлнэ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Монгол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бичгийн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хэлний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бодлогын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зөвлөлтэй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хамтран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Үндэсний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бичиг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үсгийн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баяр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явууллаа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Хавсралт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: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зураг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32.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хаагчид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болгож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унших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соёлд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багачуудыг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унших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идвэхи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нэмгүүлэх</w:t>
            </w:r>
            <w:proofErr w:type="spellEnd"/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тоогоор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хагас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бөгөөд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цаашид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хаагчдыг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болгохоор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Хавсралт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: 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зураг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431255" w:rsidRPr="006D465F" w:rsidTr="006D465F">
        <w:tc>
          <w:tcPr>
            <w:tcW w:w="15593" w:type="dxa"/>
            <w:gridSpan w:val="9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3. ЭДИЙН ЗАСГИЙН БОДЛОГО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56" w:type="dxa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3.1.1. ДНБ-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өсөлтийг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6-12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хувиар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өсгөнө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33.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боловсруулах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салбарыг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, ДНБ-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өсөлтийг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6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хувиар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ДНБ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Тэрбум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төгрөг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719.4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хугацаа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болоогүй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3.1.2.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орлого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санхүүгийн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үүсвэрийг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хөрөнгийг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чиглүүлсэн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хариуцлагатай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сахилга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34.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Татвар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хураалтыг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цахимжуулж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орлогын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бааз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суурийг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өргөжүүлэн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орлогын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жигд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биелүүлж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татварын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барагдуулалтын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стандартыг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хангана</w:t>
            </w:r>
            <w:proofErr w:type="spellEnd"/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орлого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тэрбум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Татварын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барагдуулалтын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сая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7.0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ab/>
              <w:t>150.0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орлогын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шатны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орлогын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2237326.7,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3055289.8,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биелэлт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136.6-тай.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Аймаг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451800.0,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305652.6,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биелэлт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134.1%,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Улс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111228.0,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123963.6,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биелэлт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111.5%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3-н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шатны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2800354.5,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3784906.1,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биелэлт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135.2 %-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35.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санхүүгийн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нэгдсэн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систем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нэвтрүүлж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болгож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урсгал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хөрөнгө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оруулалтын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хэмнэлттэй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зарцуулна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Нэгдсэн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систем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нэвтрүүлж,төсвийн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хэмнэлт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А/399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дансанд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дотоод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шалгалт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захирамж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удирдамж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боловсруулан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бодитой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байдалд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хяналтшалгалт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хэрэгжилтийг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тайланг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Санхүү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аудитын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эргэлтийн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дансанд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бүртгүүлсэн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ч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мэдээлэлээ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тавиагүйгээс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47,24%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нягтлан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бодогч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үүрэг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болгон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36.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сахилга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хариуцлагыг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дээшлүүлнэ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дансанд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байршуулсан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аудитын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дүгнэлт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тухайн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төсөв,төсвийн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мэдээ,өр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авлагыг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дансанд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байршуулан,ил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самбарт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байршуулан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мэдээлсэн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37.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төсөвт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худалдан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авалтыг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www.tender.gov.mn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тендер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шалгаруулалтын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дамжуулж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сүүлийн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үеийн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дэвшилтэт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технологид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тулгуурлан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зарласан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тендерт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тендерийн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Худалдан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тусгагдсан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100%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нээлттэй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байгуулагдаж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TENDER.GOV.MN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байршсан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431255" w:rsidRPr="006D465F" w:rsidTr="006D465F">
        <w:tc>
          <w:tcPr>
            <w:tcW w:w="15593" w:type="dxa"/>
            <w:gridSpan w:val="9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4. ХӨДӨӨ АЖ АХУЙ, ҮЙЛДВЭРЛЭЛИЙН БОДЛОГО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4.1.1.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тариалангийн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үйлдвэрлэлийг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тогтвортой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салбарын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өрсөлдөх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чадварыг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нэмэгдүүлэнэ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38.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Тэжээлийн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таримлын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тариалалтыг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тэжээл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үйлдвэрлэнэ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200 458  165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Тэжээлийн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ургамал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тариалж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тариалалтын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үргэлжилж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39.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хүлэмжийн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үйлдвэрлэлийг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ургацын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ногооны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хангамжийг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хүлэмж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мкв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/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хүлэмж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мкв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/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13  103 16.1  44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хүлэмж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5000мкв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ургац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хураан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хүлэмж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35900мкв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тариалалт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тариалалтын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үргэлжилж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40. 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хүнсээ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бэлтгэе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уриалга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тариалан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эрхлэлтийг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дэмжинэ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тарьсан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12.0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0.5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хүнсний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ногоо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тариалсан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4.2.1.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үйлдвэрлэлийн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нөөц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эргэлтийг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эрчимжүүлж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тооноос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бүтээмжид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шилжүүлж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сүрэгт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цөм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сүргийн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8-аас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доошгүй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хүргэнэ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41. 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Монгол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мал-2”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үндэсний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шимийг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эрчимжүүлж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шилжүүлж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генийн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технологийн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ололтыг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нэвтрүүлнэ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үзүүлэлт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МАА-н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өвөлжилтийн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гаргасан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Мэрэгч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амьтантай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тэмцсэн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мян.га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&lt;90.0 0.305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Ноос-1.2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Сүү-810 л 90.0≤ 2≤ 16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шимийг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цөм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сүргийг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цөм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сүргийг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3000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үхрийг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ээмэгжүүлэх,уг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татвараас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шийдвэрлэж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9,10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багтаан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хийхээр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төлөвлөөд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байна.Нэг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дунджаар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0.250-0.300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буюу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9 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гаруй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ноолуур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бэлтгэсэн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Бэлчээрийн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хортон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мэрэгчтэй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тэмцэх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бэлчээр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15.0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сая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төгрөгийн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төсвөөр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шувууны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07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23-ны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дуусгана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42.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Монгол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махны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сурталчлан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таниулж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бордох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технологи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нэвтрүүлэн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махны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экспортыг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малчдын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Экспортод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гаргасан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махны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100 150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Монгол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махны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сурталчлан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таниулж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бордох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технологийг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нэвтрүүлэх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бийф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ХХК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өсвөр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насны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үхрийг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малчдаас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зэргэлдээх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аймаг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малчдаас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зээлийн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ханшаар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худалдан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маллагаанд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хоног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тэжээж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зээлд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аюулгүй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үүсэл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тодорхой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махыг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нийлүүлэн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үлдэгдэл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600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үхрийг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зээлд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нийлүүлж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210тн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бэлтгэн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борлуулсан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гаруй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үхэр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худалдан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маллагаанд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тэжээж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Хавсралт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: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зураг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43.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Гойд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шимт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үржлийн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амьтны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эрчимжсэн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технологийн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шинэчлэл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сайжруулалтыг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үе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шаттай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ашгийг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хүнсний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хэрэгцээний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сүү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өндөг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бусад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бүтээгдэхүүний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хангамжийг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Эрчимжсэн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Бэлтгэсэн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сүү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сая.л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1  36.6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гоц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өвчин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гарсантай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холбогдуулан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экспортод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гарахгүй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гойд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шимт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цөм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сүрэг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Үхэр-1280 Хонь-1356 Ямаа-6988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одоогийн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06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43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мянган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литр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сүү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бэлтгэн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зээлд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нийлүүлээд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44.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ялган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тэмдэглэх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тогтолцоог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700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доошгүй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толгой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Ялган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төвлөрүүлсэн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хээлтүүлэгчийн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/ 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Ялган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төвлөрүүлсэн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хээлтүүлэгчийн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ухна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683 420  250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126, хуц460,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ухна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279,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үхэр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3000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толгойг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ээмэгжүүлэх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захиалгыг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аймгийн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ХХААГ-т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хүсэлт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гаргасан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Ээмэгжүүлэх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3.4-р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улиралд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хийгдэхээр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төлөвлөөд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суурьт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хуц-95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төвлөрүүлээд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суурьт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Ухна-75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толгойг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ялган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төвлөрүүлсэн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45.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Үндэсний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боловсруулах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арьс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ноос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ноолуур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техникийн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зохицуулалтын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шаардлагад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нийцсэн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сүү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нийлүүлсэн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малчин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эрчимжсэн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эрхлэгчдэд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мөнгөн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урамшуулал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Урамшуулалд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малчин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Арьс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ноос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ноолуурын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урамшуулал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ковид-19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тахалтай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холбогдуулан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олгогдохоо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больсон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46. 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Хөдөө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даатгалын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тогтолцоог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малчид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тариаланчдыг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эрсдэлээс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Даатгалд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малчин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Эрсдэлээс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даатгалд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малчин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хамрагдаад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47. 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гоц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өвчингүй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тайван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”-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баталгаажуулж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аюулгүй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хүнсээр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боловсруулах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гаралтай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бүтээгдэхүүнийг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Тандалт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шинжилгээнд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хамрагдсанмалын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мян.тол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0.3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дэвсгэрт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импортын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үржлийн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хорио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тандалтанд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хамруулж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2022оны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хагас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95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адууны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ТАМЭАЦЛ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УМЭАЦТЛ-т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гоц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хонь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ямааны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шүлхий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үхрийн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арьс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товруутах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мялзан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өвчний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тандалтанд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74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ТАМЭАЦЛ-т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ажиллалаа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Хавсралт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: 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зураг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48.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Гоц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зооноз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шимэгчтэх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өвчнөөс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тандалтыг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амьтны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мэндийн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болгон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өвчнийг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илрүүлж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тогтолцоог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Дархлаажуулалт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-ХӨУС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мян.тол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Дархлаажуулал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Зооноз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мян.тол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мэндийн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үзлэгт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мян.тол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./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Шимэгчтэх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өвчнөөс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эмчлэн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мян.тол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Халдваргүйтэл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/мян.м2/</w:t>
            </w:r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70.0 46.1 171.0 215.0 47.0 450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А/256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захирамжийн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хугацаандаа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технологийн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дагуу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гэрээт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эмнэлгийн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нэгжүүдээр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гэрээтэй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өрхүүдэд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хийлгэн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22000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хугацаандаа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хийгдсэнд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70%-д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тавин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ажиллалаа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амьты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мэндийн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хуулийн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гоц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шимэгчтэх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өвнөөс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зорилгоор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75000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толгой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мэндийн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үзлэгт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хамруулаад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53200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толгой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шимэгчтэх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өвчнөөс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хамруулаад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А/282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захирамжийн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хэсгийн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бүрэлдэхүүн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өвчнөөр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хорогдсон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657толгой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устгалын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устгаж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14700м2,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хашаа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хороо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7500м2,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бэлчээр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1600,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устгалын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500м2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24300м2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халдваргүүжүүлэн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ажиллалаа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Хавсралт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: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зураг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49.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амьтны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гаралтай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бүтээгдэхүүнийг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мөрдөн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мөшгөх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тогтолцоог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эмнэлгийн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гэрчилгээ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нэвтрүүлж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эмнэлгийн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хүртээмжтэй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эмнэлгийн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баталгаажуулна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эмнэлгийн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гэрчилгээ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хэрэгжилтээр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амьтны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гаралтай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бүтээгдэхүүнийг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мөрдөн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мөшгөх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тогтолцоог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эмнэлгийн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гэрчилгээ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нэвтрүүлэх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эмнэлгийн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хүртээмжтэй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5-н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БИНХ-д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нэгдсэн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удирдамжийн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дагуу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амьтны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гаралтай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бүтээгдэхүүнийг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эмнэлгийн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гэрчилгээгүй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худалдан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борлуулахгүй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малчдад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заавар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зөвлөмж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350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авлагыг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малчидад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тараан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өгсөн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хагас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287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гэрчилгээнд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тавин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ажиллалаа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4.3.1.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боловсруулах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салбарыг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50.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Нэгдсэн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барилга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барьж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дороос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Бичил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бизнес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эрхлэч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сангаас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зээл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цайны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хэрчсэн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гурилын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цех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хэрэгцээг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Бичил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жижиг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бизнес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эрхлэгчдийг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санхүү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зээлийн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бодлогоор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дэмжиж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“ЖДҮ-27”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1-аас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доошгүй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жижиг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бойжуулж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өрсөлдөх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чадварыг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үйлдвэрлэсэн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бүтээгдэхүүнээр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аймаг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хэрэгцээг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зээлийн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сая.төгрг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/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цехийн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16  220.0 2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жижиг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эрхлэгч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жижиг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зээлд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аюулгүй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үйлдвэрлэлээр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хэрчсэн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гурилыг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үйлдвэрлэж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Цаашид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аймгийн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өрсөлдөхүйц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бүтээгдэхүүнийг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дэмжихийг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зорьж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431255" w:rsidRPr="006D465F" w:rsidTr="006D465F">
        <w:tc>
          <w:tcPr>
            <w:tcW w:w="15593" w:type="dxa"/>
            <w:gridSpan w:val="9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5. НОГООН ХӨГЖЛИЙН БОДЛОГО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5.1.1.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нөөцийн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хомсдолыг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бууруулж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ашиглалтын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нөөц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болгоно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52. 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Тэрбум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тарьж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ургуулах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үндэсний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”-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байгууллагуудын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идэвх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оролцоотойгоор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суурин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ногоон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байгууламжийн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Ногоон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байгууламжийн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Монгол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Улсын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Ерөнхийлөгчийн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2010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63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зарлиг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2021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зарлиг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03-ний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А/363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захирамжийн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зорилгоор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“БҮХ НИЙТЭЭР МОД ТАРИХ САРЫН АЯН”-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05-р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01-ний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өдрөөс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06-р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01-ний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хооронд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эзэмшлийн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ногоон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байгууламжинд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1200,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цэцэрлэгт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хүрээлэнд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108,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Агро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Атрын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ХХК 460,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Аялал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жуулчлал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жинст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гүнж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HERO, СPTT,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хатан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2221,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Уул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уурхай:Хүдэр-эрдэнэ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2500,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хашаандаа:863ш, 5-р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хайрхан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30ш, 1-р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ХХК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2500ш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9882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ширхэг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тарьж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95.062.000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төгрөг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зарцууллаа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Хавсралт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: 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зураг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53.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Бэлчээр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хадлангийн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зориулалттай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хөнөөлт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шавж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мэрэгчидтэй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тэмцэх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тандалт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судалгаанд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үндэслэн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мэргэжлийн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байгууллагатай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хамтран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байгаль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орчинд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сөрөг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нөлөөгүй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бэлчээрийн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ургацын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гарцыг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Тэмцлийн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мян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хугацаа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болоогүй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54.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Биологийн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янз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тархац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амьдрах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орчныг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тэтгэж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хомсдолоос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нутагшуулсан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тарвага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толгой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биотехникийн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20 2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нутагшуулах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тарвага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толгой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тусгагдаагүй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болно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ИТХ-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12-р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15-ний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39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дүгээр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тогтоолоор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ОНХС-н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хөрөнгө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оруулалтаар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шувууны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суултуур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биотехникийн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15.000.000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төгрөгийн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батлуулсан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5.1.2.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хаягдлын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менежментийг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хаягдлыг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бууруулах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хэвшлийн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дадал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хэвшлийг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төлөвшүүлэхэд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чиглэсэн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бодлого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55.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Байгаль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хийгдэх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тавьж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хэрэгжүүлэх</w:t>
            </w:r>
            <w:proofErr w:type="spellEnd"/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ААН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ИТХ-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8-р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хуралдааны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12-р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15-ний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39-р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тогтоолоор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байгаль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орчныг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зарцуулах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5.000.000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төгрөг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хувиарлагдсан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бөгөөд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1.410.000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төгрөгийг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нохой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устгал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хаягдал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бохирдлыг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устгах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цэвэрлэх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зарцуулаад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56. 1.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ab/>
              <w:t>"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хаягдлын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менежментийг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”-г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цэвэрлэгээг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тогтмолжуулж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дэвсгэрт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хамаарах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улсын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авто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авто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дагуух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хаягдлыг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цэвэрлэх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Цэвэрлэгээ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байх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Аймгийн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2009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А/453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захирамж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29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А/143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захирамж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2022.04.11-ний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А/242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захирамжуудын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биелэлтийг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1,3,4-р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цэвэрлэгээ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төвлөрсөн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хаягдлыг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цэвэрлэх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цэвэрлэгээнд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ЗДТГ-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14, ЭМТ-8, ЕБС-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16,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Цэцэрлэгийн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11,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Соёлын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18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ажилтан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ААН-1,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68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оролцож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60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хаягдлыг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төвлөрүүллээ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5.1.3.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нөөцийг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хуримтлал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болгох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хомсдол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бохирдлоос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зохистой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нэгдсэн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менежментийг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57.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бүсийг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хамгаалалтад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авна</w:t>
            </w:r>
            <w:proofErr w:type="spellEnd"/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тогтоогдсон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хувиар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хамаарах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цэгүүдийн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буюу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78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13987.04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онцгой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буюу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78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5956.75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саналаа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Умард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говийн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гүвээт-Халхын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хүргүүлсэн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58.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болгох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ИТХ-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12-р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15-ний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39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дүгээр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тогтоолоор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хөрөнгө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оруулалтаар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төхөөрөмжийн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10.000.000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төгрөгийн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батлагдсан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бөгөөд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ундны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худагт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төхөөрөмжийг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одоог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хүртэл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ашиглагдаж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5.2.1.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Байгальд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багатай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хариуцлагатай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уул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уурхайг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Уул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уурхайн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лиценз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олголтыг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нээлттэй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болгон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хяналт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шалгалт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хууль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зөрчиж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зөвшөөрлийг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хүчингүй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болгоно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Хүчингүй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болгосон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тусгай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зөвшөөрлийн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Цуцлуулах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саналтай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хайгуулийн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тусгай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зөвшөөрөлтэй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ААН-н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судалгааны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боловсруулан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60.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Бичил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уурхайн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шалгалт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холбогдох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хууль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тогтоомжийн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шаардлагатай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шалтгалт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2017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151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дүгээр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дагуу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Бичил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уурхайгаар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малтмал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олборлох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журам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”-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дагуу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ёсны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зөвшөөрөлтэй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бичил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уул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байхгүй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болно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61.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Уул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уурхайн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улмаас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хөндөгдсөн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60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-д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техникийн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40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-д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биологийн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сэргээлт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хийлгэнэ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сэргээгдсэн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Техник-га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Биологи-га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Авдар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Хүрзэт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хууль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олборлож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улмаас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хөндөгдсөн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20,5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хүдэр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ХХК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аймгийн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БОАЖГ, БОАЖЯ –р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байгаль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менежментийн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дүйцүүлэн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сэргээлт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тусгагдсан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Тухайн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хүдэр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ХХК-д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аймгийн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БОАЖГ-с 2022.05.27-ний 07/174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дүгээр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бичгээр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сэргээлтийн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2022.07.01-нээс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өмнө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өгсөн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Хавсралт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: 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зураг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62.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Тухайн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хайгуулын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тусгай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зөвшөөрлөөр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явуулсан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судалгааг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тайлан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байх</w:t>
            </w:r>
            <w:proofErr w:type="spellEnd"/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Тайлан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ирүүлсэн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Тухайн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хайгуулын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тусгай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зөвшөөрлөөр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явуулсан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хайгуулын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судалгааг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аймгийн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БОАЖГ-т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хүргүүлээд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63.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сэргээлт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хийдэг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дэвшилтэт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технологи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нэвтрүүлдэг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дахин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ашигладаг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нөөц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төлбөрөө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хугацаандаа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төлдөг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хариуцлагатай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уул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уурхайг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дэмжинэ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дахин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дүгээр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дэнж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XV-014257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тусгай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зөвшөөрөл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эзэмшигч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/РД:2097109/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Цогтонон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ХХК-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байгаль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нөлөөллийн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ерөнхий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үнэлгээ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тоолуур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тавин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ашигласны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төлбөрөө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тухайд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5.3.1.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Аялал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жуулчлалыг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бүсчлэн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аялал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жуулчлалын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онцгой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холбогдол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нөөц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бүтээгдэхүүнээ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үйлчилгээний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стандартыг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өрсөлдөх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чадварыг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дээшлүүлэн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жуулчдын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64.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онцлог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аялал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жуулчлалын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эвентийг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гадаад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дотоодын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жуулчдын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эвент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Гадаад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жуулчдын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Дотоод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аялагчдын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1 20.0 50 12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ИТХ-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03-р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25-ний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06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тогтоолоор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2022-2030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аялал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жуулчлалын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стратеги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батлуулсан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65. 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НИТАЖ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эрхлэгчдийг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чадавхижуулж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эрхлэгчдийн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НИТАЖ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эрхлэгчдийн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өссөн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НИТАЖ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эрхлэгчээр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6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малчин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өрхийн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судалгааг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аймгийн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БОАЖГ-т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хүргүүлээд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431255" w:rsidRPr="006D465F" w:rsidTr="006D465F">
        <w:tc>
          <w:tcPr>
            <w:tcW w:w="15593" w:type="dxa"/>
            <w:gridSpan w:val="9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6. БҮС, ОРОН НУТГИЙН ХӨГЖЛИЙН БОДЛОГО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6.1.1.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суурин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стандарт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загварт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нийцүүлэн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ерөнхий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дагуу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тухтай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амьдрах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66.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ерөнхий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боловсруулан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мөрдөж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Хэсэгчилсэн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ерөнхий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дуусгаж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мөрдөн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ажиллах</w:t>
            </w:r>
            <w:proofErr w:type="spellEnd"/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Хэсэгчилсэн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ундны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бүсийн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стандартыг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хангуулна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бүсийн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стандар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хамаарах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цэгүүдийн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буюу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78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13987.04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онцгой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буюу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78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5956.75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саналаа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Умард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говийн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гүвээт-Халхын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хүргүүлсэн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68.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Дулаан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цэвэр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бохир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инженерийн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шугам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сүлжээний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цогц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бүтцийг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тухтай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амьдрах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үйлдвэрлэл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орчинг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болгоно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Төвлөрсөн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дулааны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шугам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сүлжээнд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холбогдох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Улсын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хөрөнгөөр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4,4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тэрбум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төгрөгөөр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инженерийн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бүтцийн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эхлүүлээд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69. 1.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Соёл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спортын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барилгын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эрчимжүүлэх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Хийгдсэн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өссөн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зардлаар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соёлын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барилгын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ажлыгТөв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аймгийн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барилга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угсралтын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компани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бөгөөд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явц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50%-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Барилга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яамны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эрчимжүүлэх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үүрэг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өгсөн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70.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сумандаа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сайхан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амьдрах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амины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сууцны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хорооллын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эхлүүлнэ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гүйцэтгэлээр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зардлаар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сумандаа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сайхан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амьдрах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амины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сууцны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хорооллын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эхлүүлсэн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71.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Цэцэрлэгт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Хүндэтгэлийн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өргөө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ногоон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гүйцэтгэлээр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цэцэрлэгт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"-д 1000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ширхэг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хайлас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108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ширхэгулиас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48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ширхэг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нарс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сүүдрэвч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төмөр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хашаа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явган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зэрэг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байгуулалтыг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6.2.1.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баримтлах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бодлогыг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тэргүүнд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өмчлүүлэх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эзэмшүүлэх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бодлого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баримтлалж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өмчлөлийг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80-аас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дээш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хүргэнэ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72.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өмчлүүлэх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байршлыг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дагуу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өмчлөлийн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байгуулна</w:t>
            </w:r>
            <w:proofErr w:type="spellEnd"/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өмчлөлийн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өссөн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дүнгээр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117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29.17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өмчлүүлэхээс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1.5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өмчлүүлсэн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73.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ГЗБ-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системд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бүртгэж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мэдээлээлээр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системд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кадастрын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шинэчилсэн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2425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бүрдүүлэлтээр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Үүнээс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аймгийн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ГХБХБГ-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хэсэгтэй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бүрдүүлэлт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хэсэг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дүгээр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сэргэлэн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бүрдүүлэлтээр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74.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дуудлага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худалдаа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сонгон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шалгаруулалтаар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эзэмшүүлэх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биржийн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систем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Тухайн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дуудлага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худалдаагаар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олгохоос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дуудлага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худалдаа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явуулж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6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эзэмшүүлж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Аймгийн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төсөвт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303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ятөгрөгийг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75.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дэвсгэрийн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боловсруулна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боловсруусан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хугацаа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болоогүй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76.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Гудамж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хөдлөх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хөрөнгийн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хаягийн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тэмдэглэгээг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стандартад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нийцүүлэн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шинэчлэх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Стандартад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нийцүүлсэн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хаягжуулалтын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өссөн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дүнгээр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хаяг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олгогдоогүй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гудамж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замд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өгөх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2021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ИТХ-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03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31-ны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тогтоолоор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баталгаажуулж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ГХБХБ-н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гудамж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замыг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хаягийн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77.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бусад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суурин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байдалд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судалгаа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суурин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гортигийг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ИТХ-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системд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бүртгэнэ</w:t>
            </w:r>
            <w:proofErr w:type="spellEnd"/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гортиг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Суурин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саналыг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Зуунмод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энхтайвны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хойно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нисэхийн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айлуудын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суурин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газруудын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саналыг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холбогдох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хүргүүлсэн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болно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78.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5</w:t>
            </w:r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дээш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хугацаагаар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эзэмшиж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хуулийн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этгээдийн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судалгааг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баталгаа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дээш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хугацаагаар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эзэмшиж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хуулийн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этгээдийн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захиалгат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баталгаанд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захиалгат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баталгааг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дээш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эзэмшиж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барилга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бүртгүүлж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талбарт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баталгааны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мэдэгдэл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тайланг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шинжээчээр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баталгаажуулах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шатандаа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явж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90%</w:t>
            </w:r>
          </w:p>
        </w:tc>
      </w:tr>
      <w:tr w:rsidR="00431255" w:rsidRPr="006D465F" w:rsidTr="006D465F">
        <w:trPr>
          <w:trHeight w:val="244"/>
        </w:trPr>
        <w:tc>
          <w:tcPr>
            <w:tcW w:w="15593" w:type="dxa"/>
            <w:gridSpan w:val="9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7. ЗАСАГЛАЛЫН БОДЛОГО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7.1.1.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технологид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тулгуурласан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шилжих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явцыг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эрчимжүүлж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хугацаа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хэмнэнэ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79.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байгууллагуудаас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хуулийн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этгээдэд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чирэгдэлгүй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нэгдсэн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төвүүдийн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хүртээмжийг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Тоног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төхөөрөмжийн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шинэчлэл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сая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байгууллагуудаас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хуулийн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этгээдэд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чирэгдэлгүй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нэгдсэн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чиглэлээр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ЗДТГ-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дотоод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засварыг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хийлгэж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тухтай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үйлчлүүлэх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орчин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бүрдүүллээ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харилцааны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хүртээмжийг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чиглэлээр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харилцаа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бариолга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хамтран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даамлын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болгож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үүрэг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хаагчдад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ачаалалагүй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80.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харилцаа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холбоо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технологийн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суурь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чадварыг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дээшлүүлж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солилцооны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"E-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mongolia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системийн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ашиглалтыг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эзлэх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лавлагаа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буюу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E-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mongolia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системийн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хэрхэн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хаанаас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лавлагааны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веб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пэйж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хуудсанд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тогтмол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байршуулж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хэвшээд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E-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mongolia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системийн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мэдлэгтэй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харилцаа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холбоо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технологийн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суурь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чадвар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дээшилж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солилцооны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"E-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mongolia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системийн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сайжирч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E-MONGOLIA.MN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даатгалын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шимтгэл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төлөлтийн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талаарх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тодорхойлолт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-24 -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үнэмлэхийн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лавлагаа-36 -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боловсролын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дипломын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тодорхойлолт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- 1 -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оршин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хаягийн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лавлагаа-21 -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тодорхойлолт-1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лавлагаа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үзүүлээд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81.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өгөгдлийн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шалгуур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үзүүлэлт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өгөгдлийн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82.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ашиглалтыг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программд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нэвтэрсэн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зардлаар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ЗГ-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эрхлэх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тушаалын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дагуу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дүгнэн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83.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байгууллагуудын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нээлттэй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хаалганы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өдөрлөгийг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салбар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уялдааг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өргөдөл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гомдол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хүсэлтийг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хүлээн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шийдвэрлэлтийн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хугацааг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буруулна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Өргөдөл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гомдлын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шийдвэрлэлтийн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хугацаа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хоног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байгууллагуудын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нээлттэй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хаалганы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өдөрлөгийг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салбар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уялдааг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зорилгоор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байгууллагуудын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нээлттэй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хаалганы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өдөрлөгийг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салбар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дундын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уялдааг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Алтантүлхүүр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Цэцэрлэг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ЕБС,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сочлын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Эрүүл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мэндийн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нээллтэй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хаалганы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өдөрлөгийн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улиралд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ЗДТГ-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Нээллтэй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хаалганы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өдөрлөгийг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2022-2023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өвөлжилтийн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байдалтай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холбогдуулан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хийхээр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салбарын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төсөвт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байгууллагууд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хагас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нээлттэй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хаалганы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өдөрлөгийн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давхардсан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тоогоор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1256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үйлчлүүлж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84. “Баг-97”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дахь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үе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шатны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багийнхаа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жигд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Баг-97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/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хэлбэрт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шилжүүлсэн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байдал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Баг-97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/ 82</w:t>
            </w: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“Баг-97”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дахь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үе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шатны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багийнхаа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идэвхтэй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санаачлагыг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сонсох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БИНХ-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өдөрлөгийг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хуваарийн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дагуу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ажиллалаа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“Баг-97”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төслийн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дахь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үе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шатны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багийнхаа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жигд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чиглэлээр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нутагт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явуулж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Таван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богд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групп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хамтран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120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сая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төгрөгний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Приус-20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маркын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автомашиныг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хариуцлагын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хүлээлгэн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өглөө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ЗДТГ-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конторын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барилгын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өрөөг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явуулах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засвар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шаардлагатай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тоног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төхөөрөмжөөр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өгсөн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дарга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засвар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сая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төгрөгийг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хөрөнгө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оруулалтын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зарцуулахаар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төлөвлөсөн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85. 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”-“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ойртуулна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Улсын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нэгдсэн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тогтолцоог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үе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шаттай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төгөлдөржүүлж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хэлбэрт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шилжүүлэн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хүртээмжтэй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тоног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төхөөрөмжийн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шинэчлэлийг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улсын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нотлох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баримтыг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цахимжуулан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чирэгдэлгүй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05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өдрөөс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Улсын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МУ-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16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насанд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биеийн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давхцахгүй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өгөгдлийн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хамрагдаад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үнэмлэх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захиргааны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харъяалал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харгалзахгүйгээр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үсгийн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баталгаажилт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үсэг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гэрчилгээ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            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улсын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төрөлтийн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6,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гэрлэлтийн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2 ,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барсны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1 ,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үнэмлэх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 2 ,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дахин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9,  25,45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насны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сунгалт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9, 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шилжин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суурьших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хөдөлгөөний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29,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үнэмлэх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21,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гэрлэлт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цуцлалт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эцэг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тогтоолт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үрчилсний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төрсний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гэрчилгээ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дахин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2 ,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85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хууль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тогтомжийын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алдаагүй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баталгаажуулан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улсын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лавлагаа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110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зөрчилтэй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бүртгэгдсэн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9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материалыг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аймгийн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Улсын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хэлтэст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хүргүүлснээс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9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зөрчил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арилгуулан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хагас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258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86.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архивын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хүртээмжийг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лавлагаа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олгосон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зардлаар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архивын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7.2.1.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Чадахуйн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зарчимд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суурилсан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мэргэшсэн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тогтвортой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бэхжүүлж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ёс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сахилга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хариуцлагыг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чангатган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ажиллах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баталгааг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87. </w:t>
            </w: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хөндлөнгийн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үнэлгээний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систем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нэвтрүүлнэ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зардлаар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гүйцэтгэл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хөндлөнгийн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үнэлгээний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цахим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систем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нэвтрүүлэхээр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88.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хугацаа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зайнаас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хамааран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тасралтгүй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хөгжих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бүрдүүлж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чадварыг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тогтмол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дээшлүүлнэ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”-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Чадахуйн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зарчимд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суурилсан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мэргэшсэн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тогтвортой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бэхжүүлж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ёс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сахилга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хариуцлагыг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чангатган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баталгааг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чиглэлээртөрийн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хаагчдычн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айлын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сууц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бусад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холбогдох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газартайы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хамтран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батлагааг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89.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баталгааг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дээшлүүлнэ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Зарцуулсан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хөрөнгийн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хэмжээ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сая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төгрөг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80.3</w:t>
            </w: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зардлаар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албан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хаагчийн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нөхцөл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нийгмийн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баталгааг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сайжруулж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хагас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87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90.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удирдлагын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тогтолцоо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ISO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стандарт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нэвтрүүлнэ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өссөн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дүнгээр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зардлаар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удирдлагын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тогтолцоо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ISO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стандарт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нэвтрүүлхээр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91.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Захиргааны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хүртээмжийн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ханамжийн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судалгааг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хөндлөнгийн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хийлгэж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дүнг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зардлаар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Захиргааны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чанар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хүртээмжийн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талаар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авах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ханамжийн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судалгааг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хөндлөнгийн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байгууллагаар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1-удаа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хийлгэх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гарган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456" w:type="dxa"/>
            <w:vMerge w:val="restart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7.3.1.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Гамшгаас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хүртээмжийг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92.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Гамшиг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осол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түймрээс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чиглэлээр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шалгалт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хийнэ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хяналт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шалгалтад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зардлаар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Хавар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намрын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хуурайшилтийн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үед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хээрийн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түймрээс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хээрийн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түймрийн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үед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бүлгийг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бүрэлдэхүүнтэй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томилгоожуулж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техник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хэрэгсэлтэйгээр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2022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хагас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дэвсгэрт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удаагийн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Обектын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түймрийн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дуудлага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зөрчлийн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шинжтэй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дуудлага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бүртгэгдэж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бүлгийн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бүрэлдэхүүн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голомтыг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тархаахгүй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хумиж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хээрийн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үед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ашиглагдах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багаж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зэвсэглэмжийг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хүрээнд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ширхэг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гөвүүр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10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ширхэг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троосон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шүүр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хүрз-5, жоотуу-4,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тээвэрлэх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зориулалт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бүхий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тонны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сав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помпны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бэлтгэл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бэлэн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байдлыг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хангасан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хэвэл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мэдээллийн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хэрэгслээр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түймрийн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аюулаас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анхааруулга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сэрэмжлүүлэг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мэдээллийг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хоног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байршуулж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дэвсгэрт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хээрийн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түймрээс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сэрэмжлүүлэг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самбар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ширхэгийг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байршуулаад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93.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Гамшгийн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эрсдэлийг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оролцоотой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бууруулах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гамшгаас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сурталчилгааны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нөлөөг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дээшлүүлнэ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Гамшгаас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зардлаар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Гамшгийн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эрсдэлийг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оролцоотой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бууруулах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хөтөлбөрийг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гамшгаас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урьдчилан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сэргийлэх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чиглэлээр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удаагийн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байгуулсан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rPr>
          <w:trHeight w:val="1818"/>
        </w:trPr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94.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томилгоот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удирдлага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бие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бүрэлдэхүүний</w:t>
            </w:r>
            <w:proofErr w:type="spellEnd"/>
            <w:proofErr w:type="gram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үе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шаттай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томилгоот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бүрэлдэхүүний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зардлаар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нутгийн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хамгаалалтын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томилгоот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удирдлага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бие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бүрэлдэхүүний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байгуулсан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rPr>
          <w:trHeight w:val="2429"/>
        </w:trPr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95.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залуучуудад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төлөвшүүлэхэд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өргөжүүлнэ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Дайчин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алдарын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булантай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болох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залуучуудад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төлөвшүүлэхэд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чиглэсэн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3-4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зохион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Дайчин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алдарын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булантай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болсон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зардлаар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Хүүхэд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залуучуудад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оронч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үзэл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төлөвшүүлэхэд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хамтын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өргөжүүлэх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чигэлээр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удаагийн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78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сурагч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35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сургалтад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хамрагдсан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70%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456" w:type="dxa"/>
            <w:vMerge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96.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байгуулагдсаны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түүхт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угтсан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бүтээлч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батлуулан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хэрэгжилт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зардлаар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байгуулагдсаны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түүхт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жилийн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угтсан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100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бүтээлч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ажлын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батлуулан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хэрэгжүүлэн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байна</w:t>
            </w:r>
            <w:proofErr w:type="spellEnd"/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90%</w:t>
            </w:r>
          </w:p>
        </w:tc>
      </w:tr>
      <w:tr w:rsidR="006D465F" w:rsidRPr="006D465F" w:rsidTr="006D465F">
        <w:tc>
          <w:tcPr>
            <w:tcW w:w="339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456" w:type="dxa"/>
            <w:vAlign w:val="center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7.3.1.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Гамшгаас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хамгаалах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үйлчилгээг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шуурхай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хүргэх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хүртээмжийг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нэмэгдүүлнэ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67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97.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Нийгэм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салбарын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түүхт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угтсан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бүтээлч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санаачилгыг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өрнүүлж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хамтран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ажиллана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Төлөвлөгөөний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хэрэгжилт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хувь</w:t>
            </w:r>
            <w:proofErr w:type="spellEnd"/>
          </w:p>
        </w:tc>
        <w:tc>
          <w:tcPr>
            <w:tcW w:w="850" w:type="dxa"/>
          </w:tcPr>
          <w:p w:rsidR="00431255" w:rsidRPr="006D465F" w:rsidRDefault="00431255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сая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төгрөг</w:t>
            </w:r>
            <w:proofErr w:type="spellEnd"/>
          </w:p>
        </w:tc>
        <w:tc>
          <w:tcPr>
            <w:tcW w:w="5245" w:type="dxa"/>
          </w:tcPr>
          <w:p w:rsidR="00431255" w:rsidRPr="006D465F" w:rsidRDefault="006D465F" w:rsidP="006D46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Нийгэм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эдийн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засгийн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зарим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салбарын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түүхт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угтсан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ахуйн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нэгж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төрийн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бус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байгууллагын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бүтээлч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санал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санаачилгыг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өрнүүлэх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чиглээр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сумын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төвийн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ногоон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байгууламжийг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нэмэгдүүлэх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хогийн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цэгийг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хашаажуулах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ногоон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байгууламж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төгөл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байгаалах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хашаажуулах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уст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цэг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байгуулах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иргэд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олон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нийтийн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идэвхи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санаачилгыг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өрнүүлэн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ажиллаа</w:t>
            </w:r>
            <w:proofErr w:type="spellEnd"/>
            <w:r w:rsidRPr="006D4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31255" w:rsidRPr="006D465F" w:rsidRDefault="006D465F" w:rsidP="006D46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6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90%</w:t>
            </w:r>
          </w:p>
        </w:tc>
      </w:tr>
    </w:tbl>
    <w:p w:rsidR="006D465F" w:rsidRDefault="006D465F" w:rsidP="006D465F">
      <w:pPr>
        <w:rPr>
          <w:rFonts w:ascii="Times New Roman" w:hAnsi="Times New Roman" w:cs="Times New Roman"/>
          <w:sz w:val="22"/>
          <w:szCs w:val="22"/>
        </w:rPr>
      </w:pP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Pr="00740E8F" w:rsidRDefault="006D465F" w:rsidP="006D465F">
      <w:pPr>
        <w:spacing w:after="0" w:line="240" w:lineRule="auto"/>
        <w:jc w:val="center"/>
        <w:rPr>
          <w:rFonts w:ascii="Times New Roman" w:hAnsi="Times New Roman"/>
          <w:sz w:val="22"/>
          <w:szCs w:val="22"/>
          <w:lang w:val="mn-MN"/>
        </w:rPr>
      </w:pPr>
      <w:r w:rsidRPr="00740E8F">
        <w:rPr>
          <w:rFonts w:ascii="Times New Roman" w:hAnsi="Times New Roman"/>
          <w:sz w:val="22"/>
          <w:szCs w:val="22"/>
          <w:lang w:val="mn-MN"/>
        </w:rPr>
        <w:t>ХЯНАСАН:</w:t>
      </w:r>
    </w:p>
    <w:p w:rsidR="006D465F" w:rsidRPr="00740E8F" w:rsidRDefault="006D465F" w:rsidP="006D465F">
      <w:pPr>
        <w:jc w:val="center"/>
        <w:rPr>
          <w:rFonts w:ascii="Times New Roman" w:hAnsi="Times New Roman" w:cs="Times New Roman"/>
          <w:sz w:val="22"/>
          <w:szCs w:val="22"/>
          <w:lang w:val="mn-MN"/>
        </w:rPr>
      </w:pPr>
      <w:r w:rsidRPr="00740E8F">
        <w:rPr>
          <w:rFonts w:ascii="Times New Roman" w:hAnsi="Times New Roman" w:cs="Times New Roman"/>
          <w:sz w:val="22"/>
          <w:szCs w:val="22"/>
          <w:lang w:val="mn-MN"/>
        </w:rPr>
        <w:t xml:space="preserve">ЗАСАГ ДАРГА </w:t>
      </w:r>
      <w:r w:rsidRPr="00740E8F">
        <w:rPr>
          <w:rFonts w:ascii="Times New Roman" w:hAnsi="Times New Roman" w:cs="Times New Roman"/>
          <w:sz w:val="22"/>
          <w:szCs w:val="22"/>
          <w:lang w:val="mn-MN"/>
        </w:rPr>
        <w:tab/>
      </w:r>
      <w:r w:rsidRPr="00740E8F">
        <w:rPr>
          <w:rFonts w:ascii="Times New Roman" w:hAnsi="Times New Roman" w:cs="Times New Roman"/>
          <w:sz w:val="22"/>
          <w:szCs w:val="22"/>
          <w:lang w:val="mn-MN"/>
        </w:rPr>
        <w:tab/>
        <w:t>Л.ТӨМӨРЧӨДӨР</w:t>
      </w:r>
    </w:p>
    <w:p w:rsidR="006D465F" w:rsidRPr="00740E8F" w:rsidRDefault="006D465F" w:rsidP="006D46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mn-MN"/>
        </w:rPr>
      </w:pPr>
    </w:p>
    <w:p w:rsidR="006D465F" w:rsidRPr="00740E8F" w:rsidRDefault="006D465F" w:rsidP="006D465F">
      <w:pPr>
        <w:spacing w:after="0" w:line="240" w:lineRule="auto"/>
        <w:jc w:val="center"/>
        <w:rPr>
          <w:rFonts w:ascii="Times New Roman" w:hAnsi="Times New Roman"/>
          <w:sz w:val="22"/>
          <w:szCs w:val="22"/>
          <w:lang w:val="mn-MN"/>
        </w:rPr>
      </w:pPr>
      <w:r w:rsidRPr="00740E8F">
        <w:rPr>
          <w:rFonts w:ascii="Times New Roman" w:hAnsi="Times New Roman"/>
          <w:sz w:val="22"/>
          <w:szCs w:val="22"/>
          <w:lang w:val="mn-MN"/>
        </w:rPr>
        <w:t>НЭГТГЭСЭН:</w:t>
      </w:r>
    </w:p>
    <w:p w:rsidR="006D465F" w:rsidRPr="003F0938" w:rsidRDefault="006D465F" w:rsidP="006D465F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740E8F">
        <w:rPr>
          <w:rFonts w:ascii="Times New Roman" w:hAnsi="Times New Roman"/>
          <w:sz w:val="22"/>
          <w:szCs w:val="22"/>
          <w:lang w:val="mn-MN"/>
        </w:rPr>
        <w:t>ХУУЛЬ ЭРХ ЗҮЙН МЭРГЭЖИЛТЭН</w:t>
      </w:r>
      <w:r w:rsidRPr="00740E8F">
        <w:rPr>
          <w:rFonts w:ascii="Times New Roman" w:hAnsi="Times New Roman"/>
          <w:sz w:val="22"/>
          <w:szCs w:val="22"/>
          <w:lang w:val="mn-MN"/>
        </w:rPr>
        <w:tab/>
      </w:r>
      <w:r w:rsidRPr="00740E8F">
        <w:rPr>
          <w:rFonts w:ascii="Times New Roman" w:hAnsi="Times New Roman"/>
          <w:sz w:val="22"/>
          <w:szCs w:val="22"/>
          <w:lang w:val="mn-MN"/>
        </w:rPr>
        <w:tab/>
      </w:r>
      <w:r w:rsidRPr="00740E8F">
        <w:rPr>
          <w:rFonts w:ascii="Times New Roman" w:hAnsi="Times New Roman"/>
          <w:sz w:val="22"/>
          <w:szCs w:val="22"/>
          <w:lang w:val="mn-MN"/>
        </w:rPr>
        <w:tab/>
        <w:t>Ц.НАРАНТУЯА</w:t>
      </w: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Default="006D465F" w:rsidP="003F2B55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6D465F" w:rsidRDefault="006D465F" w:rsidP="006D465F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D465F" w:rsidRPr="00FB7066" w:rsidRDefault="006D465F" w:rsidP="006D465F">
      <w:pPr>
        <w:spacing w:after="0"/>
        <w:jc w:val="center"/>
        <w:rPr>
          <w:rFonts w:ascii="Times New Roman" w:hAnsi="Times New Roman" w:cs="Times New Roman"/>
          <w:sz w:val="22"/>
          <w:szCs w:val="22"/>
          <w:highlight w:val="yellow"/>
          <w:lang w:val="mn-MN"/>
        </w:rPr>
      </w:pPr>
      <w:r w:rsidRPr="00FB7066">
        <w:rPr>
          <w:rFonts w:ascii="Times New Roman" w:hAnsi="Times New Roman" w:cs="Times New Roman"/>
          <w:b/>
          <w:sz w:val="22"/>
          <w:szCs w:val="22"/>
          <w:highlight w:val="yellow"/>
        </w:rPr>
        <w:t>СУМЫН ЭДИЙН ЗАСАГ, НИЙГМИЙГ ХӨГЖҮҮЛЭХ ҮНДСЭН ЧИГЛЭЛ</w:t>
      </w:r>
      <w:r w:rsidRPr="00FB7066">
        <w:rPr>
          <w:rFonts w:ascii="Times New Roman" w:hAnsi="Times New Roman" w:cs="Times New Roman"/>
          <w:b/>
          <w:sz w:val="22"/>
          <w:szCs w:val="22"/>
          <w:highlight w:val="yellow"/>
          <w:lang w:val="mn-MN"/>
        </w:rPr>
        <w:t>ИЙН</w:t>
      </w:r>
    </w:p>
    <w:p w:rsidR="006D465F" w:rsidRPr="00FB7066" w:rsidRDefault="006D465F" w:rsidP="006D465F">
      <w:pPr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highlight w:val="yellow"/>
          <w:lang w:val="mn-MN"/>
        </w:rPr>
      </w:pPr>
      <w:r w:rsidRPr="00FB706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highlight w:val="yellow"/>
          <w:lang w:val="mn-MN"/>
        </w:rPr>
        <w:t xml:space="preserve"> </w:t>
      </w:r>
      <w:r w:rsidRPr="00FB7066">
        <w:rPr>
          <w:rFonts w:ascii="Times New Roman" w:hAnsi="Times New Roman"/>
          <w:b/>
          <w:bCs/>
          <w:sz w:val="22"/>
          <w:szCs w:val="22"/>
          <w:highlight w:val="yellow"/>
          <w:lang w:val="mn-MN"/>
        </w:rPr>
        <w:t>ХЭРЭГЖИЛТИЙН ТОВЧОО ХҮСНЭГТ</w:t>
      </w:r>
    </w:p>
    <w:p w:rsidR="006D465F" w:rsidRPr="00FB7066" w:rsidRDefault="006D465F" w:rsidP="006D465F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FB7066">
        <w:rPr>
          <w:rFonts w:ascii="Times New Roman" w:hAnsi="Times New Roman"/>
          <w:sz w:val="24"/>
          <w:szCs w:val="24"/>
          <w:highlight w:val="yellow"/>
        </w:rPr>
        <w:t>(202</w:t>
      </w: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>2 оны хагас жилийн байдлаар</w:t>
      </w:r>
      <w:r w:rsidRPr="00FB7066">
        <w:rPr>
          <w:rFonts w:ascii="Times New Roman" w:hAnsi="Times New Roman"/>
          <w:sz w:val="24"/>
          <w:szCs w:val="24"/>
          <w:highlight w:val="yellow"/>
        </w:rPr>
        <w:t>)</w:t>
      </w:r>
    </w:p>
    <w:p w:rsidR="006D465F" w:rsidRPr="00FB7066" w:rsidRDefault="006D465F" w:rsidP="006D465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mn-MN"/>
        </w:rPr>
      </w:pP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 xml:space="preserve">    2022.06.10</w:t>
      </w: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ab/>
      </w: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ab/>
      </w: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ab/>
      </w: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ab/>
      </w: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ab/>
      </w: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ab/>
      </w: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ab/>
      </w: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ab/>
      </w: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ab/>
      </w: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ab/>
      </w: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ab/>
      </w: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ab/>
      </w: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ab/>
      </w:r>
      <w:r w:rsidRPr="00FB7066">
        <w:rPr>
          <w:rFonts w:ascii="Times New Roman" w:hAnsi="Times New Roman"/>
          <w:sz w:val="24"/>
          <w:szCs w:val="24"/>
          <w:highlight w:val="yellow"/>
          <w:lang w:val="mn-MN"/>
        </w:rPr>
        <w:tab/>
        <w:t xml:space="preserve">                    Сэргэлэн сум</w:t>
      </w:r>
    </w:p>
    <w:tbl>
      <w:tblPr>
        <w:tblpPr w:leftFromText="180" w:rightFromText="180" w:bottomFromText="200" w:vertAnchor="text" w:horzAnchor="margin" w:tblpX="512" w:tblpY="177"/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177"/>
        <w:gridCol w:w="993"/>
        <w:gridCol w:w="850"/>
        <w:gridCol w:w="851"/>
        <w:gridCol w:w="917"/>
        <w:gridCol w:w="993"/>
        <w:gridCol w:w="992"/>
        <w:gridCol w:w="992"/>
        <w:gridCol w:w="1134"/>
        <w:gridCol w:w="1276"/>
      </w:tblGrid>
      <w:tr w:rsidR="006D465F" w:rsidRPr="00FB7066" w:rsidTr="006D465F">
        <w:trPr>
          <w:cantSplit/>
          <w:trHeight w:val="41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/>
                <w:sz w:val="24"/>
                <w:szCs w:val="24"/>
                <w:highlight w:val="yellow"/>
                <w:lang w:val="mn-MN"/>
              </w:rPr>
              <w:t>№</w:t>
            </w:r>
          </w:p>
        </w:tc>
        <w:tc>
          <w:tcPr>
            <w:tcW w:w="5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mn-MN"/>
              </w:rPr>
              <w:t>Бодлого, чиглэлийн хүрээнд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mn-MN"/>
              </w:rPr>
              <w:t>Хэрэгжүүлэх арга хэмжээний</w:t>
            </w:r>
          </w:p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mn-MN"/>
              </w:rPr>
              <w:t>заалт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mn-MN"/>
              </w:rPr>
            </w:pPr>
            <w:proofErr w:type="spellStart"/>
            <w:r w:rsidRPr="00FB706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Хэрэгжилт</w:t>
            </w:r>
            <w:proofErr w:type="spellEnd"/>
          </w:p>
        </w:tc>
      </w:tr>
      <w:tr w:rsidR="006D465F" w:rsidRPr="00FB7066" w:rsidTr="006D465F">
        <w:trPr>
          <w:cantSplit/>
          <w:trHeight w:val="183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5F" w:rsidRPr="00FB7066" w:rsidRDefault="006D465F" w:rsidP="006D465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5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5F" w:rsidRPr="00FB7066" w:rsidRDefault="006D465F" w:rsidP="006D465F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5F" w:rsidRPr="00FB7066" w:rsidRDefault="006D465F" w:rsidP="006D46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850" w:type="dxa"/>
            <w:shd w:val="clear" w:color="auto" w:fill="F2F2F2"/>
            <w:textDirection w:val="btLr"/>
            <w:vAlign w:val="center"/>
          </w:tcPr>
          <w:p w:rsidR="006D465F" w:rsidRPr="00FB7066" w:rsidRDefault="006D465F" w:rsidP="006D46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100 </w:t>
            </w:r>
            <w:proofErr w:type="spellStart"/>
            <w:r w:rsidRPr="00FB706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хувь</w:t>
            </w:r>
            <w:proofErr w:type="spellEnd"/>
            <w:r w:rsidRPr="00FB706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proofErr w:type="spellStart"/>
            <w:r w:rsidRPr="00FB7066">
              <w:rPr>
                <w:rFonts w:ascii="Times New Roman" w:hAnsi="Times New Roman"/>
                <w:sz w:val="24"/>
                <w:szCs w:val="24"/>
                <w:highlight w:val="yellow"/>
              </w:rPr>
              <w:t>үр</w:t>
            </w:r>
            <w:proofErr w:type="spellEnd"/>
            <w:r w:rsidRPr="00FB706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B7066">
              <w:rPr>
                <w:rFonts w:ascii="Times New Roman" w:hAnsi="Times New Roman"/>
                <w:sz w:val="24"/>
                <w:szCs w:val="24"/>
                <w:highlight w:val="yellow"/>
              </w:rPr>
              <w:t>дүнтэй</w:t>
            </w:r>
            <w:proofErr w:type="spellEnd"/>
          </w:p>
        </w:tc>
        <w:tc>
          <w:tcPr>
            <w:tcW w:w="851" w:type="dxa"/>
            <w:shd w:val="clear" w:color="auto" w:fill="F2F2F2"/>
            <w:textDirection w:val="btLr"/>
          </w:tcPr>
          <w:p w:rsidR="006D465F" w:rsidRPr="00FB7066" w:rsidRDefault="006D465F" w:rsidP="006D46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mn-MN"/>
              </w:rPr>
              <w:t xml:space="preserve">90 хувь </w:t>
            </w:r>
          </w:p>
          <w:p w:rsidR="006D465F" w:rsidRPr="00FB7066" w:rsidRDefault="006D465F" w:rsidP="006D46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mn-MN"/>
              </w:rPr>
            </w:pPr>
            <w:proofErr w:type="spellStart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>Тодорхой</w:t>
            </w:r>
            <w:proofErr w:type="spellEnd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>үр</w:t>
            </w:r>
            <w:proofErr w:type="spellEnd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>дүнд</w:t>
            </w:r>
            <w:proofErr w:type="spellEnd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>хүрсэн</w:t>
            </w:r>
            <w:proofErr w:type="spellEnd"/>
          </w:p>
        </w:tc>
        <w:tc>
          <w:tcPr>
            <w:tcW w:w="917" w:type="dxa"/>
            <w:shd w:val="clear" w:color="auto" w:fill="F2F2F2"/>
            <w:textDirection w:val="btLr"/>
          </w:tcPr>
          <w:p w:rsidR="006D465F" w:rsidRPr="00FB7066" w:rsidRDefault="006D465F" w:rsidP="006D46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mn-MN"/>
              </w:rPr>
              <w:t>70 хувь</w:t>
            </w:r>
          </w:p>
          <w:p w:rsidR="006D465F" w:rsidRPr="00FB7066" w:rsidRDefault="006D465F" w:rsidP="006D46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mn-MN"/>
              </w:rPr>
            </w:pPr>
            <w:proofErr w:type="spellStart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>Тодорхой</w:t>
            </w:r>
            <w:proofErr w:type="spellEnd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>үр</w:t>
            </w:r>
            <w:proofErr w:type="spellEnd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>дүнд</w:t>
            </w:r>
            <w:proofErr w:type="spellEnd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>хүрсэн</w:t>
            </w:r>
            <w:proofErr w:type="spellEnd"/>
          </w:p>
        </w:tc>
        <w:tc>
          <w:tcPr>
            <w:tcW w:w="993" w:type="dxa"/>
            <w:shd w:val="clear" w:color="auto" w:fill="F2F2F2"/>
            <w:textDirection w:val="btLr"/>
          </w:tcPr>
          <w:p w:rsidR="006D465F" w:rsidRPr="00FB7066" w:rsidRDefault="006D465F" w:rsidP="006D46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/>
                <w:sz w:val="24"/>
                <w:szCs w:val="24"/>
                <w:highlight w:val="yellow"/>
                <w:lang w:val="mn-MN"/>
              </w:rPr>
              <w:t xml:space="preserve">50 хувь </w:t>
            </w:r>
          </w:p>
          <w:p w:rsidR="006D465F" w:rsidRPr="00FB7066" w:rsidRDefault="006D465F" w:rsidP="006D46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mn-MN"/>
              </w:rPr>
            </w:pPr>
            <w:proofErr w:type="spellStart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>Эрчимжүүлэх</w:t>
            </w:r>
            <w:proofErr w:type="spellEnd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>шаардлагатай</w:t>
            </w:r>
            <w:proofErr w:type="spellEnd"/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:rsidR="006D465F" w:rsidRPr="00FB7066" w:rsidRDefault="006D465F" w:rsidP="006D46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/>
                <w:sz w:val="24"/>
                <w:szCs w:val="24"/>
                <w:highlight w:val="yellow"/>
                <w:lang w:val="mn-MN"/>
              </w:rPr>
              <w:t xml:space="preserve">30 хувь </w:t>
            </w:r>
          </w:p>
          <w:p w:rsidR="006D465F" w:rsidRPr="00FB7066" w:rsidRDefault="006D465F" w:rsidP="006D46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proofErr w:type="spellStart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>Эрчимжүүлэх</w:t>
            </w:r>
            <w:proofErr w:type="spellEnd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 xml:space="preserve"> </w:t>
            </w:r>
            <w:proofErr w:type="spellStart"/>
            <w:r w:rsidRPr="00FB706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</w:rPr>
              <w:t>шаардлагатай</w:t>
            </w:r>
            <w:proofErr w:type="spellEnd"/>
          </w:p>
        </w:tc>
        <w:tc>
          <w:tcPr>
            <w:tcW w:w="992" w:type="dxa"/>
            <w:shd w:val="clear" w:color="auto" w:fill="F2F2F2"/>
            <w:textDirection w:val="btLr"/>
          </w:tcPr>
          <w:p w:rsidR="006D465F" w:rsidRPr="00FB7066" w:rsidRDefault="006D465F" w:rsidP="006D46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/>
                <w:sz w:val="24"/>
                <w:szCs w:val="24"/>
                <w:highlight w:val="yellow"/>
                <w:lang w:val="mn-MN"/>
              </w:rPr>
              <w:t xml:space="preserve">0 хувь </w:t>
            </w:r>
          </w:p>
          <w:p w:rsidR="006D465F" w:rsidRPr="00FB7066" w:rsidRDefault="006D465F" w:rsidP="006D465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(үр дүнгүй)</w:t>
            </w:r>
          </w:p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1134" w:type="dxa"/>
            <w:shd w:val="clear" w:color="auto" w:fill="F2F2F2"/>
            <w:textDirection w:val="btLr"/>
            <w:vAlign w:val="center"/>
            <w:hideMark/>
          </w:tcPr>
          <w:p w:rsidR="006D465F" w:rsidRPr="00FB7066" w:rsidRDefault="006D465F" w:rsidP="006D465F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B706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Гүйцэтгэлийн</w:t>
            </w:r>
            <w:proofErr w:type="spellEnd"/>
            <w:r w:rsidRPr="00FB706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FB706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хувь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FB706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Оноо</w:t>
            </w:r>
            <w:proofErr w:type="spellEnd"/>
          </w:p>
        </w:tc>
      </w:tr>
      <w:tr w:rsidR="006D465F" w:rsidRPr="00FB7066" w:rsidTr="006D465F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“КОВИД-19” ЦАР ТАХЛААС ҮҮДЭЛТЭЙ ЭДИЙН ЗАСАГ, НИЙГМИЙН ХҮНДРЭЛИЙГ ДАВАН ТУУЛАХ БОДЛОГО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D30A0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10</w:t>
            </w:r>
            <w:r w:rsidR="006D465F"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5</w:t>
            </w:r>
          </w:p>
        </w:tc>
      </w:tr>
      <w:tr w:rsidR="006D465F" w:rsidRPr="00FB7066" w:rsidTr="006D465F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06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ХҮНИЙ ХӨГЖЛИЙН БОДЛОГО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D30A0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80</w:t>
            </w:r>
            <w:r w:rsidR="006D465F"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D30A0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4</w:t>
            </w:r>
          </w:p>
        </w:tc>
      </w:tr>
      <w:tr w:rsidR="006D465F" w:rsidRPr="00FB7066" w:rsidTr="006D465F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  <w:t>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ЭДИЙН ЗАСГИЙН БОДЛОГО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D30A0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78</w:t>
            </w:r>
            <w:r w:rsidR="006D465F"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D30A0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3,9</w:t>
            </w:r>
          </w:p>
        </w:tc>
      </w:tr>
      <w:tr w:rsidR="006D465F" w:rsidRPr="00FB7066" w:rsidTr="006D465F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  <w:t>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ХӨДӨӨ АЖ АХУЙ, ҮЙЛДВЭРЛЭЛИЙН БОДЛОГО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D30A0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82,9</w:t>
            </w:r>
            <w:r w:rsidR="006D465F"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D30A0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4,1</w:t>
            </w:r>
          </w:p>
        </w:tc>
      </w:tr>
      <w:tr w:rsidR="006D465F" w:rsidRPr="00FB7066" w:rsidTr="006D465F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  <w:t>5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НОГООН ХӨГЖЛИЙН БОДЛОГО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8C4E6B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76,4</w:t>
            </w:r>
            <w:r w:rsidR="006D465F"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8C4E6B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3,8</w:t>
            </w:r>
          </w:p>
        </w:tc>
      </w:tr>
      <w:tr w:rsidR="006D465F" w:rsidRPr="00FB7066" w:rsidTr="006D465F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  <w:t>6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БҮС, ОРОН НУТГИЙН ХӨГЖЛИЙН БОДЛОГО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8C4E6B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83</w:t>
            </w:r>
            <w:r w:rsidR="006D465F"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8C4E6B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4,1</w:t>
            </w:r>
          </w:p>
        </w:tc>
      </w:tr>
      <w:tr w:rsidR="006D465F" w:rsidRPr="00FB7066" w:rsidTr="006D465F">
        <w:trPr>
          <w:trHeight w:val="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  <w:t>7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ЗАСАГЛАЛЫН БОДЛОГО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433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  <w:t>1</w:t>
            </w:r>
            <w:r w:rsidR="004336A9" w:rsidRPr="00FB7066">
              <w:rPr>
                <w:rFonts w:ascii="Times New Roman" w:hAnsi="Times New Roman"/>
                <w:sz w:val="24"/>
                <w:szCs w:val="24"/>
                <w:highlight w:val="yellow"/>
                <w:lang w:val="mn-M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8C4E6B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81</w:t>
            </w:r>
            <w:r w:rsidR="006D465F"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8C4E6B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mn-MN" w:bidi="mn-Mong-CN"/>
              </w:rPr>
              <w:t>4</w:t>
            </w:r>
          </w:p>
        </w:tc>
      </w:tr>
      <w:tr w:rsidR="006D465F" w:rsidRPr="00FB7066" w:rsidTr="006D465F">
        <w:trPr>
          <w:trHeight w:val="447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mn-MN" w:bidi="mn-Mong-CN"/>
              </w:rPr>
              <w:t>Нийт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336A9" w:rsidP="006D4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/>
                <w:sz w:val="24"/>
                <w:szCs w:val="24"/>
                <w:highlight w:val="yellow"/>
                <w:lang w:val="mn-MN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D30A0" w:rsidP="006D4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mn-M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D30A0" w:rsidP="006D4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mn-MN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D30A0" w:rsidP="006D4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mn-MN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D30A0" w:rsidP="006D4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mn-M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4D30A0" w:rsidP="006D4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mn-M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mn-MN"/>
              </w:rPr>
            </w:pPr>
            <w:r w:rsidRPr="00FB7066">
              <w:rPr>
                <w:rFonts w:ascii="Times New Roman" w:hAnsi="Times New Roman"/>
                <w:b/>
                <w:sz w:val="24"/>
                <w:szCs w:val="24"/>
                <w:highlight w:val="yellow"/>
                <w:lang w:val="mn-M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mn-MN" w:bidi="mn-Mong-CN"/>
              </w:rPr>
              <w:t>82,4%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5F" w:rsidRPr="00FB7066" w:rsidRDefault="006D465F" w:rsidP="006D465F">
            <w:pPr>
              <w:tabs>
                <w:tab w:val="left" w:pos="709"/>
                <w:tab w:val="left" w:pos="2268"/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mn-MN" w:bidi="mn-Mong-CN"/>
              </w:rPr>
            </w:pPr>
            <w:r w:rsidRPr="00FB7066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mn-MN" w:bidi="mn-Mong-CN"/>
              </w:rPr>
              <w:t>4,1</w:t>
            </w:r>
          </w:p>
        </w:tc>
      </w:tr>
    </w:tbl>
    <w:p w:rsidR="006D465F" w:rsidRPr="00FB7066" w:rsidRDefault="006D465F" w:rsidP="006D465F">
      <w:pPr>
        <w:spacing w:after="0" w:line="240" w:lineRule="auto"/>
        <w:jc w:val="center"/>
        <w:rPr>
          <w:rFonts w:ascii="Times New Roman" w:hAnsi="Times New Roman"/>
          <w:sz w:val="22"/>
          <w:szCs w:val="22"/>
          <w:highlight w:val="yellow"/>
          <w:lang w:val="mn-MN"/>
        </w:rPr>
      </w:pPr>
      <w:r w:rsidRPr="00FB7066">
        <w:rPr>
          <w:rFonts w:ascii="Times New Roman" w:hAnsi="Times New Roman"/>
          <w:sz w:val="22"/>
          <w:szCs w:val="22"/>
          <w:highlight w:val="yellow"/>
          <w:lang w:val="mn-MN"/>
        </w:rPr>
        <w:t>ХЯНАСАН:</w:t>
      </w:r>
    </w:p>
    <w:p w:rsidR="006D465F" w:rsidRPr="00FB7066" w:rsidRDefault="006D465F" w:rsidP="006D465F">
      <w:pPr>
        <w:jc w:val="center"/>
        <w:rPr>
          <w:rFonts w:ascii="Times New Roman" w:hAnsi="Times New Roman" w:cs="Times New Roman"/>
          <w:sz w:val="22"/>
          <w:szCs w:val="22"/>
          <w:highlight w:val="yellow"/>
          <w:lang w:val="mn-MN"/>
        </w:rPr>
      </w:pPr>
      <w:r w:rsidRPr="00FB7066">
        <w:rPr>
          <w:rFonts w:ascii="Times New Roman" w:hAnsi="Times New Roman" w:cs="Times New Roman"/>
          <w:sz w:val="22"/>
          <w:szCs w:val="22"/>
          <w:highlight w:val="yellow"/>
          <w:lang w:val="mn-MN"/>
        </w:rPr>
        <w:t xml:space="preserve">ЗАСАГ ДАРГА </w:t>
      </w:r>
      <w:r w:rsidRPr="00FB7066">
        <w:rPr>
          <w:rFonts w:ascii="Times New Roman" w:hAnsi="Times New Roman" w:cs="Times New Roman"/>
          <w:sz w:val="22"/>
          <w:szCs w:val="22"/>
          <w:highlight w:val="yellow"/>
          <w:lang w:val="mn-MN"/>
        </w:rPr>
        <w:tab/>
      </w:r>
      <w:r w:rsidRPr="00FB7066">
        <w:rPr>
          <w:rFonts w:ascii="Times New Roman" w:hAnsi="Times New Roman" w:cs="Times New Roman"/>
          <w:sz w:val="22"/>
          <w:szCs w:val="22"/>
          <w:highlight w:val="yellow"/>
          <w:lang w:val="mn-MN"/>
        </w:rPr>
        <w:tab/>
        <w:t>Л.ТӨМӨРЧӨДӨР</w:t>
      </w:r>
    </w:p>
    <w:p w:rsidR="006D465F" w:rsidRPr="00FB7066" w:rsidRDefault="006D465F" w:rsidP="006D46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  <w:lang w:val="mn-MN"/>
        </w:rPr>
      </w:pPr>
    </w:p>
    <w:p w:rsidR="006D465F" w:rsidRPr="00FB7066" w:rsidRDefault="006D465F" w:rsidP="006D465F">
      <w:pPr>
        <w:spacing w:after="0" w:line="240" w:lineRule="auto"/>
        <w:jc w:val="center"/>
        <w:rPr>
          <w:rFonts w:ascii="Times New Roman" w:hAnsi="Times New Roman"/>
          <w:sz w:val="22"/>
          <w:szCs w:val="22"/>
          <w:highlight w:val="yellow"/>
          <w:lang w:val="mn-MN"/>
        </w:rPr>
      </w:pPr>
      <w:r w:rsidRPr="00FB7066">
        <w:rPr>
          <w:rFonts w:ascii="Times New Roman" w:hAnsi="Times New Roman"/>
          <w:sz w:val="22"/>
          <w:szCs w:val="22"/>
          <w:highlight w:val="yellow"/>
          <w:lang w:val="mn-MN"/>
        </w:rPr>
        <w:t>НЭГТГЭСЭН:</w:t>
      </w:r>
    </w:p>
    <w:p w:rsidR="006D465F" w:rsidRPr="003F0938" w:rsidRDefault="006D465F" w:rsidP="006D465F">
      <w:pPr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FB7066">
        <w:rPr>
          <w:rFonts w:ascii="Times New Roman" w:hAnsi="Times New Roman"/>
          <w:sz w:val="22"/>
          <w:szCs w:val="22"/>
          <w:highlight w:val="yellow"/>
          <w:lang w:val="mn-MN"/>
        </w:rPr>
        <w:t>ХУУЛЬ ЭРХ ЗҮЙН МЭРГЭЖИЛТЭН</w:t>
      </w:r>
      <w:r w:rsidRPr="00FB7066">
        <w:rPr>
          <w:rFonts w:ascii="Times New Roman" w:hAnsi="Times New Roman"/>
          <w:sz w:val="22"/>
          <w:szCs w:val="22"/>
          <w:highlight w:val="yellow"/>
          <w:lang w:val="mn-MN"/>
        </w:rPr>
        <w:tab/>
      </w:r>
      <w:r w:rsidRPr="00FB7066">
        <w:rPr>
          <w:rFonts w:ascii="Times New Roman" w:hAnsi="Times New Roman"/>
          <w:sz w:val="22"/>
          <w:szCs w:val="22"/>
          <w:highlight w:val="yellow"/>
          <w:lang w:val="mn-MN"/>
        </w:rPr>
        <w:tab/>
      </w:r>
      <w:r w:rsidRPr="00FB7066">
        <w:rPr>
          <w:rFonts w:ascii="Times New Roman" w:hAnsi="Times New Roman"/>
          <w:sz w:val="22"/>
          <w:szCs w:val="22"/>
          <w:highlight w:val="yellow"/>
          <w:lang w:val="mn-MN"/>
        </w:rPr>
        <w:tab/>
        <w:t>Ц.НАРАНТУЯА</w:t>
      </w:r>
    </w:p>
    <w:p w:rsidR="006D465F" w:rsidRPr="006D465F" w:rsidRDefault="006D465F" w:rsidP="006D465F">
      <w:pPr>
        <w:rPr>
          <w:rFonts w:ascii="Times New Roman" w:hAnsi="Times New Roman" w:cs="Times New Roman"/>
          <w:sz w:val="22"/>
          <w:szCs w:val="22"/>
        </w:rPr>
      </w:pPr>
    </w:p>
    <w:sectPr w:rsidR="006D465F" w:rsidRPr="006D465F" w:rsidSect="006D465F">
      <w:pgSz w:w="16787" w:h="11870" w:orient="landscape"/>
      <w:pgMar w:top="170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5"/>
    <w:rsid w:val="003F2B55"/>
    <w:rsid w:val="00431255"/>
    <w:rsid w:val="004336A9"/>
    <w:rsid w:val="004D30A0"/>
    <w:rsid w:val="006413BC"/>
    <w:rsid w:val="006D465F"/>
    <w:rsid w:val="008C4E6B"/>
    <w:rsid w:val="00975CD7"/>
    <w:rsid w:val="00F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DDF9C1-8687-4D10-B4E0-1C8E184F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Rowspan">
    <w:name w:val="Colspan Rowspan"/>
    <w:uiPriority w:val="99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7383</Words>
  <Characters>42085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2022-06-16T02:58:00Z</cp:lastPrinted>
  <dcterms:created xsi:type="dcterms:W3CDTF">2022-11-21T05:50:00Z</dcterms:created>
  <dcterms:modified xsi:type="dcterms:W3CDTF">2022-11-21T05:50:00Z</dcterms:modified>
  <cp:category/>
</cp:coreProperties>
</file>